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9E" w:rsidRPr="00AE5E9E" w:rsidRDefault="00AE5E9E" w:rsidP="00AE5E9E">
      <w:pPr>
        <w:widowControl/>
        <w:shd w:val="clear" w:color="auto" w:fill="F8F8F8"/>
        <w:spacing w:line="540" w:lineRule="atLeast"/>
        <w:jc w:val="left"/>
        <w:outlineLvl w:val="0"/>
        <w:rPr>
          <w:rFonts w:ascii="微软雅黑" w:eastAsia="微软雅黑" w:hAnsi="微软雅黑" w:cs="Tahoma"/>
          <w:color w:val="545454"/>
          <w:kern w:val="36"/>
          <w:sz w:val="42"/>
          <w:szCs w:val="42"/>
        </w:rPr>
      </w:pPr>
      <w:r w:rsidRPr="00AE5E9E">
        <w:rPr>
          <w:rFonts w:ascii="微软雅黑" w:eastAsia="微软雅黑" w:hAnsi="微软雅黑" w:cs="Tahoma" w:hint="eastAsia"/>
          <w:color w:val="545454"/>
          <w:kern w:val="36"/>
          <w:sz w:val="42"/>
          <w:szCs w:val="42"/>
        </w:rPr>
        <w:t>最新会计法全文（2017最新版本）</w:t>
      </w:r>
    </w:p>
    <w:p w:rsidR="00AE5E9E" w:rsidRPr="00AE5E9E" w:rsidRDefault="00AE5E9E" w:rsidP="00AE5E9E">
      <w:pPr>
        <w:widowControl/>
        <w:shd w:val="clear" w:color="auto" w:fill="F8F8F8"/>
        <w:spacing w:line="300" w:lineRule="atLeast"/>
        <w:jc w:val="left"/>
        <w:rPr>
          <w:rFonts w:ascii="Tahoma" w:eastAsia="宋体" w:hAnsi="Tahoma" w:cs="Tahoma" w:hint="eastAsia"/>
          <w:color w:val="333333"/>
          <w:kern w:val="0"/>
          <w:sz w:val="18"/>
          <w:szCs w:val="18"/>
        </w:rPr>
      </w:pPr>
      <w:r w:rsidRPr="00AE5E9E">
        <w:rPr>
          <w:rFonts w:ascii="Tahoma" w:eastAsia="宋体" w:hAnsi="Tahoma" w:cs="Tahoma"/>
          <w:color w:val="333333"/>
          <w:kern w:val="0"/>
          <w:sz w:val="18"/>
          <w:szCs w:val="18"/>
        </w:rPr>
        <w:t>142</w:t>
      </w:r>
    </w:p>
    <w:p w:rsidR="00AE5E9E" w:rsidRPr="00AE5E9E" w:rsidRDefault="00AE5E9E" w:rsidP="00AE5E9E">
      <w:pPr>
        <w:widowControl/>
        <w:shd w:val="clear" w:color="auto" w:fill="1C7BBF"/>
        <w:spacing w:line="600" w:lineRule="atLeast"/>
        <w:jc w:val="left"/>
        <w:rPr>
          <w:rFonts w:ascii="微软雅黑" w:eastAsia="微软雅黑" w:hAnsi="微软雅黑" w:cs="Tahoma"/>
          <w:b/>
          <w:bCs/>
          <w:color w:val="FFFFFF"/>
          <w:kern w:val="0"/>
          <w:sz w:val="24"/>
          <w:szCs w:val="24"/>
        </w:rPr>
      </w:pPr>
      <w:r w:rsidRPr="00AE5E9E">
        <w:rPr>
          <w:rFonts w:ascii="微软雅黑" w:eastAsia="微软雅黑" w:hAnsi="微软雅黑" w:cs="Tahoma" w:hint="eastAsia"/>
          <w:b/>
          <w:bCs/>
          <w:color w:val="FFFFFF"/>
          <w:kern w:val="0"/>
          <w:sz w:val="24"/>
          <w:szCs w:val="24"/>
        </w:rPr>
        <w:t>目录</w:t>
      </w:r>
    </w:p>
    <w:p w:rsidR="00AE5E9E" w:rsidRPr="00AE5E9E" w:rsidRDefault="00AE5E9E" w:rsidP="00AE5E9E">
      <w:pPr>
        <w:widowControl/>
        <w:numPr>
          <w:ilvl w:val="0"/>
          <w:numId w:val="1"/>
        </w:numPr>
        <w:shd w:val="clear" w:color="auto" w:fill="FFFFFF"/>
        <w:spacing w:line="360" w:lineRule="atLeast"/>
        <w:ind w:left="0"/>
        <w:jc w:val="left"/>
        <w:rPr>
          <w:rFonts w:ascii="Tahoma" w:eastAsia="宋体" w:hAnsi="Tahoma" w:cs="Tahoma" w:hint="eastAsia"/>
          <w:color w:val="333333"/>
          <w:kern w:val="0"/>
          <w:szCs w:val="21"/>
        </w:rPr>
      </w:pPr>
      <w:hyperlink r:id="rId7" w:anchor="第一章 总则" w:tooltip="第一章" w:history="1">
        <w:r w:rsidRPr="00AE5E9E">
          <w:rPr>
            <w:rFonts w:ascii="Tahoma" w:eastAsia="宋体" w:hAnsi="Tahoma" w:cs="Tahoma"/>
            <w:color w:val="666666"/>
            <w:kern w:val="0"/>
            <w:u w:val="single"/>
          </w:rPr>
          <w:t>第一章</w:t>
        </w:r>
        <w:r w:rsidRPr="00AE5E9E">
          <w:rPr>
            <w:rFonts w:ascii="Tahoma" w:eastAsia="宋体" w:hAnsi="Tahoma" w:cs="Tahoma"/>
            <w:color w:val="666666"/>
            <w:kern w:val="0"/>
            <w:u w:val="single"/>
          </w:rPr>
          <w:t xml:space="preserve"> </w:t>
        </w:r>
        <w:r w:rsidRPr="00AE5E9E">
          <w:rPr>
            <w:rFonts w:ascii="Tahoma" w:eastAsia="宋体" w:hAnsi="Tahoma" w:cs="Tahoma"/>
            <w:color w:val="666666"/>
            <w:kern w:val="0"/>
            <w:u w:val="single"/>
          </w:rPr>
          <w:t>总则</w:t>
        </w:r>
      </w:hyperlink>
    </w:p>
    <w:p w:rsidR="00AE5E9E" w:rsidRPr="00AE5E9E" w:rsidRDefault="00AE5E9E" w:rsidP="00AE5E9E">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8" w:anchor="第二章 会计核算" w:tooltip="第二章" w:history="1">
        <w:r w:rsidRPr="00AE5E9E">
          <w:rPr>
            <w:rFonts w:ascii="Tahoma" w:eastAsia="宋体" w:hAnsi="Tahoma" w:cs="Tahoma"/>
            <w:color w:val="666666"/>
            <w:kern w:val="0"/>
            <w:u w:val="single"/>
          </w:rPr>
          <w:t>第二章</w:t>
        </w:r>
        <w:r w:rsidRPr="00AE5E9E">
          <w:rPr>
            <w:rFonts w:ascii="Tahoma" w:eastAsia="宋体" w:hAnsi="Tahoma" w:cs="Tahoma"/>
            <w:color w:val="666666"/>
            <w:kern w:val="0"/>
            <w:u w:val="single"/>
          </w:rPr>
          <w:t xml:space="preserve"> </w:t>
        </w:r>
        <w:r w:rsidRPr="00AE5E9E">
          <w:rPr>
            <w:rFonts w:ascii="Tahoma" w:eastAsia="宋体" w:hAnsi="Tahoma" w:cs="Tahoma"/>
            <w:color w:val="666666"/>
            <w:kern w:val="0"/>
            <w:u w:val="single"/>
          </w:rPr>
          <w:t>会计核算</w:t>
        </w:r>
      </w:hyperlink>
    </w:p>
    <w:p w:rsidR="00AE5E9E" w:rsidRPr="00AE5E9E" w:rsidRDefault="00AE5E9E" w:rsidP="00AE5E9E">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9" w:anchor="第三章 公司、企业会计核算的特别规定" w:tooltip="第三章" w:history="1">
        <w:r w:rsidRPr="00AE5E9E">
          <w:rPr>
            <w:rFonts w:ascii="Tahoma" w:eastAsia="宋体" w:hAnsi="Tahoma" w:cs="Tahoma"/>
            <w:color w:val="666666"/>
            <w:kern w:val="0"/>
            <w:u w:val="single"/>
          </w:rPr>
          <w:t>第三章</w:t>
        </w:r>
        <w:r w:rsidRPr="00AE5E9E">
          <w:rPr>
            <w:rFonts w:ascii="Tahoma" w:eastAsia="宋体" w:hAnsi="Tahoma" w:cs="Tahoma"/>
            <w:color w:val="666666"/>
            <w:kern w:val="0"/>
            <w:u w:val="single"/>
          </w:rPr>
          <w:t xml:space="preserve"> </w:t>
        </w:r>
        <w:r w:rsidRPr="00AE5E9E">
          <w:rPr>
            <w:rFonts w:ascii="Tahoma" w:eastAsia="宋体" w:hAnsi="Tahoma" w:cs="Tahoma"/>
            <w:color w:val="666666"/>
            <w:kern w:val="0"/>
            <w:u w:val="single"/>
          </w:rPr>
          <w:t>公司、企业会计核算的特别规定</w:t>
        </w:r>
      </w:hyperlink>
    </w:p>
    <w:p w:rsidR="00AE5E9E" w:rsidRPr="00AE5E9E" w:rsidRDefault="00AE5E9E" w:rsidP="00AE5E9E">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10" w:anchor="第四章 会计监督" w:tooltip="第四章" w:history="1">
        <w:r w:rsidRPr="00AE5E9E">
          <w:rPr>
            <w:rFonts w:ascii="Tahoma" w:eastAsia="宋体" w:hAnsi="Tahoma" w:cs="Tahoma"/>
            <w:color w:val="666666"/>
            <w:kern w:val="0"/>
            <w:u w:val="single"/>
          </w:rPr>
          <w:t>第四章</w:t>
        </w:r>
        <w:r w:rsidRPr="00AE5E9E">
          <w:rPr>
            <w:rFonts w:ascii="Tahoma" w:eastAsia="宋体" w:hAnsi="Tahoma" w:cs="Tahoma"/>
            <w:color w:val="666666"/>
            <w:kern w:val="0"/>
            <w:u w:val="single"/>
          </w:rPr>
          <w:t xml:space="preserve"> </w:t>
        </w:r>
        <w:r w:rsidRPr="00AE5E9E">
          <w:rPr>
            <w:rFonts w:ascii="Tahoma" w:eastAsia="宋体" w:hAnsi="Tahoma" w:cs="Tahoma"/>
            <w:color w:val="666666"/>
            <w:kern w:val="0"/>
            <w:u w:val="single"/>
          </w:rPr>
          <w:t>会计监督</w:t>
        </w:r>
      </w:hyperlink>
    </w:p>
    <w:p w:rsidR="00AE5E9E" w:rsidRPr="00AE5E9E" w:rsidRDefault="00AE5E9E" w:rsidP="00AE5E9E">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11" w:anchor="第五章 会计机构和会计人员" w:tooltip="第五章" w:history="1">
        <w:r w:rsidRPr="00AE5E9E">
          <w:rPr>
            <w:rFonts w:ascii="Tahoma" w:eastAsia="宋体" w:hAnsi="Tahoma" w:cs="Tahoma"/>
            <w:color w:val="666666"/>
            <w:kern w:val="0"/>
            <w:u w:val="single"/>
          </w:rPr>
          <w:t>第五章</w:t>
        </w:r>
        <w:r w:rsidRPr="00AE5E9E">
          <w:rPr>
            <w:rFonts w:ascii="Tahoma" w:eastAsia="宋体" w:hAnsi="Tahoma" w:cs="Tahoma"/>
            <w:color w:val="666666"/>
            <w:kern w:val="0"/>
            <w:u w:val="single"/>
          </w:rPr>
          <w:t xml:space="preserve"> </w:t>
        </w:r>
        <w:r w:rsidRPr="00AE5E9E">
          <w:rPr>
            <w:rFonts w:ascii="Tahoma" w:eastAsia="宋体" w:hAnsi="Tahoma" w:cs="Tahoma"/>
            <w:color w:val="666666"/>
            <w:kern w:val="0"/>
            <w:u w:val="single"/>
          </w:rPr>
          <w:t>会计机构和会计人员</w:t>
        </w:r>
      </w:hyperlink>
    </w:p>
    <w:p w:rsidR="00AE5E9E" w:rsidRPr="00AE5E9E" w:rsidRDefault="00AE5E9E" w:rsidP="00AE5E9E">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12" w:anchor="第六章 法律责任" w:tooltip="第六章" w:history="1">
        <w:r w:rsidRPr="00AE5E9E">
          <w:rPr>
            <w:rFonts w:ascii="Tahoma" w:eastAsia="宋体" w:hAnsi="Tahoma" w:cs="Tahoma"/>
            <w:color w:val="666666"/>
            <w:kern w:val="0"/>
            <w:u w:val="single"/>
          </w:rPr>
          <w:t>第六章</w:t>
        </w:r>
        <w:r w:rsidRPr="00AE5E9E">
          <w:rPr>
            <w:rFonts w:ascii="Tahoma" w:eastAsia="宋体" w:hAnsi="Tahoma" w:cs="Tahoma"/>
            <w:color w:val="666666"/>
            <w:kern w:val="0"/>
            <w:u w:val="single"/>
          </w:rPr>
          <w:t xml:space="preserve"> </w:t>
        </w:r>
        <w:r w:rsidRPr="00AE5E9E">
          <w:rPr>
            <w:rFonts w:ascii="Tahoma" w:eastAsia="宋体" w:hAnsi="Tahoma" w:cs="Tahoma"/>
            <w:color w:val="666666"/>
            <w:kern w:val="0"/>
            <w:u w:val="single"/>
          </w:rPr>
          <w:t>法律责任</w:t>
        </w:r>
      </w:hyperlink>
    </w:p>
    <w:p w:rsidR="00AE5E9E" w:rsidRPr="00AE5E9E" w:rsidRDefault="00AE5E9E" w:rsidP="00AE5E9E">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13" w:anchor="第七章 附则" w:tooltip="第七章" w:history="1">
        <w:r w:rsidRPr="00AE5E9E">
          <w:rPr>
            <w:rFonts w:ascii="Tahoma" w:eastAsia="宋体" w:hAnsi="Tahoma" w:cs="Tahoma"/>
            <w:color w:val="666666"/>
            <w:kern w:val="0"/>
            <w:u w:val="single"/>
          </w:rPr>
          <w:t>第七章</w:t>
        </w:r>
        <w:r w:rsidRPr="00AE5E9E">
          <w:rPr>
            <w:rFonts w:ascii="Tahoma" w:eastAsia="宋体" w:hAnsi="Tahoma" w:cs="Tahoma"/>
            <w:color w:val="666666"/>
            <w:kern w:val="0"/>
            <w:u w:val="single"/>
          </w:rPr>
          <w:t xml:space="preserve"> </w:t>
        </w:r>
        <w:r w:rsidRPr="00AE5E9E">
          <w:rPr>
            <w:rFonts w:ascii="Tahoma" w:eastAsia="宋体" w:hAnsi="Tahoma" w:cs="Tahoma"/>
            <w:color w:val="666666"/>
            <w:kern w:val="0"/>
            <w:u w:val="single"/>
          </w:rPr>
          <w:t>附则</w:t>
        </w:r>
      </w:hyperlink>
    </w:p>
    <w:p w:rsidR="00AE5E9E" w:rsidRPr="00AE5E9E" w:rsidRDefault="00AE5E9E" w:rsidP="00AE5E9E">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0" w:name="第一章_总则"/>
      <w:bookmarkEnd w:id="0"/>
      <w:r w:rsidRPr="00AE5E9E">
        <w:rPr>
          <w:rFonts w:ascii="微软雅黑" w:eastAsia="微软雅黑" w:hAnsi="微软雅黑" w:cs="Tahoma" w:hint="eastAsia"/>
          <w:b/>
          <w:bCs/>
          <w:color w:val="1C7BBF"/>
          <w:kern w:val="0"/>
          <w:sz w:val="24"/>
          <w:szCs w:val="24"/>
        </w:rPr>
        <w:t>第一章 总则</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hint="eastAsia"/>
          <w:color w:val="666666"/>
          <w:kern w:val="0"/>
          <w:szCs w:val="21"/>
        </w:rPr>
      </w:pPr>
      <w:r w:rsidRPr="00AE5E9E">
        <w:rPr>
          <w:rFonts w:ascii="Tahoma" w:eastAsia="宋体" w:hAnsi="Tahoma" w:cs="Tahoma"/>
          <w:color w:val="666666"/>
          <w:kern w:val="0"/>
          <w:szCs w:val="21"/>
        </w:rPr>
        <w:t>第一条　为了规范会计行为，保证会计资料真实、完整，加强经济管理和财务管理，提高经济效益，维护社会主义市场经济秩序，制定本法。</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第二条　国家机关、社会团体、公司、企业、事业单位和其他组织（以下统称单位）必须依照本法办理会计事务。</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第三条　各单位必须依法设置会计帐簿，并保证其真实、完整。</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第四条　单位负责人对本单位的会计工作和会计资料的真实性、完整性负责。</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第五条　会计机构、会计人员依照本法规定进行会计核算，实行会计监督。</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任何单位或者个人不得以任何方式授意、指使、强令会计机构、会计人员伪造、变造会计凭证、会计帐簿和其他会计资料，提供虚假财务会计报告。</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任何单位或者个人不得对依法履行职责、抵制违反本法规定行为的会计人员实行打击报复。</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第六条　对认真执行本法，忠于职守，坚持原则，做出显著成绩的会计人员，给予精神的或者物质的奖励。</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lastRenderedPageBreak/>
        <w:t>第七条　国务院财政部门主管全国的会计工作。</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县级以上地方各级人民政府财政部门管理本行政区域内的会计工作。</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第八条　国家实行统一的会计制度。国家统一的会计制度由国务院财政部门根据本法制定并公布。</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国务院有关部门可以依照本法和国家统一的会计制度制定对会计核算和会计监督有特殊要求的行业实施国家统一的会计制度的具体办法或者补充规定，报国务院财政部门审核批准。</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中国人民解放军总后勤部可以依照本法和国家统一的会计制度制定军队实施国家统一的会计制度的具体办法，报国务院财政部门备案。</w:t>
      </w:r>
    </w:p>
    <w:p w:rsidR="00AE5E9E" w:rsidRPr="00AE5E9E" w:rsidRDefault="00AE5E9E" w:rsidP="00AE5E9E">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1" w:name="第二章_会计核算"/>
      <w:bookmarkEnd w:id="1"/>
      <w:r w:rsidRPr="00AE5E9E">
        <w:rPr>
          <w:rFonts w:ascii="微软雅黑" w:eastAsia="微软雅黑" w:hAnsi="微软雅黑" w:cs="Tahoma" w:hint="eastAsia"/>
          <w:b/>
          <w:bCs/>
          <w:color w:val="1C7BBF"/>
          <w:kern w:val="0"/>
          <w:sz w:val="24"/>
          <w:szCs w:val="24"/>
        </w:rPr>
        <w:t>第二章 会计核算</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hint="eastAsia"/>
          <w:color w:val="666666"/>
          <w:kern w:val="0"/>
          <w:szCs w:val="21"/>
        </w:rPr>
      </w:pPr>
      <w:r w:rsidRPr="00AE5E9E">
        <w:rPr>
          <w:rFonts w:ascii="Tahoma" w:eastAsia="宋体" w:hAnsi="Tahoma" w:cs="Tahoma"/>
          <w:color w:val="666666"/>
          <w:kern w:val="0"/>
          <w:szCs w:val="21"/>
        </w:rPr>
        <w:t>第九条　各单位必须根据实际发生的经济业务事项进行会计核算，填制会计凭证，登记会计帐簿，编制财务会计报告。</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任何单位不得以虚假的经济业务事项或者资料进行会计核算。</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第十条　下列经济业务事项，应当办理会计手续，进行会计核算：</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（一）款项和有价证券的收付；</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（二）财物的收发、增减和使用；</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（三）债权债务的发生和结算；</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（四）资本、基金的增减；</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（五）收入、支出、费用、成本的计算；</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（六）财务成果的计算和处理；</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（七）需要办理会计手续、进行会计核算的其他事项。</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lastRenderedPageBreak/>
        <w:t>第十一条　会计年度自公历１月１日起至１２月３１日止。</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第十二条　会计核算以人民币为记帐本位币。</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业务收支以人民币以外的货币为主的单位，可以选定其中一种货币作为记帐本位币，但是编报的财务会计报告应当折算为人民币。</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第十三条　会计凭证、会计帐簿、财务会计报告和其他会计资料，必须符合国家统一的会计制度的规定。</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使用电子计算机进行会计核算的，其软件及其生成的会计凭证、会计帐簿、财务会计报告和其他会计资料，也必须符合国家统一的会计制度的规定。</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任何单位和个人不得伪造、变造会计凭证、会计帐簿及其他会计资料，不得提供虚假的财务会计报告。</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第十四条　会计凭证包括原始凭证和记帐凭证。</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办理本法第十条所列的经济业务事项，必须填制或者取得原始凭证并及时送交会计机构。</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原始凭证记载的各项内容均不得涂改；原始凭证有错误的，应当由出具单位重开或者更正，更正处应当加盖出具单位印章。原始凭证金额有错误的，应当由出具单位重开，不得在原始凭证上更正。</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记帐凭证应当根据经过审核的原始凭证及有关资料编制。</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第十五条　会计帐簿登记，必须以经过审核的会计凭证为依据，并符合有关法律、行政法规和国家统一的会计制度的规定。会计帐簿包括总帐、明细帐、日记帐和其他辅助性帐簿。</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lastRenderedPageBreak/>
        <w:t>会计帐簿应当按照连续编号的页码顺序登记。会计帐簿记录发生错误或者隔页、缺号、跳行的，应当按照国家统一的会计制度规定的方法更正，并由会计人员和会计机构负责人（会计主管人员）在更正处盖章。</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使用电子计算机进行会计核算的，其会计帐簿的登记、更正，应当符合国家统一的会计制度的规定。</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第十六条　各单位发生的各项经济业务事项应当在依法设置的会计帐簿上统一登记、核算，不得违反本法和国家统一的会计制度的规定私设会计帐簿登记、核算。</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第十七条　各单位应当定期将会计帐簿记录与实物、款项及有关资料相互核对，保证会计帐簿记录与实物及款项的实有数额相符、会计帐簿记录与会计凭证的有关内容相符、会计帐簿之间相对应的记录相符、会计帐簿记录与会计报表的有关内容相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第十八条　各单位采用的会计处理方法，前后各期应当一致，不得随意变更；确有必要变更的，应当按照国家统一的会计制度的规定变更，并将变更的原因、情况及影响在财务会计报告中说明。</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第十九条　单位提供的担保、未决诉讼等或有事项，应当按照国家统一的会计制度的规定，在财务会计报告中予以说明。</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第二十条　财务会计报告应当根据经过审核的会计帐簿记录和有关资料编制，并符合本法和国家统一的会计制度关于财务会计报告的编制要求、提供对象和提供期限的规定；其他法律、行政法规另有规定的，从其规定。</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第二十一条　财务会计报告应当由单位负责人和主管会计工作的负责人、会计机构负责人（会计主管人员）签名并盖章；设置总会计师的单位，还须由总会计师签名并盖章。</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单位负责人应当保证财务会计报告真实、完整。</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lastRenderedPageBreak/>
        <w:t>第二十二条　会计记录的文字应当使用中文。在民族自治地方，会计记录可以同时使用当地通用的一种民族文字。在中华人民共和国境内的外商投资企业、外国企业和其他外国组织的会计记录可以同时使用一种外国文字。</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第二十三条　各单位对会计凭证、会计帐簿、财务会计报告和其他会计资料应当建立档案，妥善保管。会计档案的保管期限和销毁办法，由国务院财政部门会同有关部门制定。</w:t>
      </w:r>
    </w:p>
    <w:p w:rsidR="00AE5E9E" w:rsidRPr="00AE5E9E" w:rsidRDefault="00AE5E9E" w:rsidP="00AE5E9E">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2" w:name="第三章_公司、企业会计核算的特别规定"/>
      <w:bookmarkEnd w:id="2"/>
      <w:r w:rsidRPr="00AE5E9E">
        <w:rPr>
          <w:rFonts w:ascii="微软雅黑" w:eastAsia="微软雅黑" w:hAnsi="微软雅黑" w:cs="Tahoma" w:hint="eastAsia"/>
          <w:b/>
          <w:bCs/>
          <w:color w:val="1C7BBF"/>
          <w:kern w:val="0"/>
          <w:sz w:val="24"/>
          <w:szCs w:val="24"/>
        </w:rPr>
        <w:t>第三章 公司、企业会计核算的特别规定</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hint="eastAsia"/>
          <w:color w:val="666666"/>
          <w:kern w:val="0"/>
          <w:szCs w:val="21"/>
        </w:rPr>
      </w:pPr>
      <w:r w:rsidRPr="00AE5E9E">
        <w:rPr>
          <w:rFonts w:ascii="Tahoma" w:eastAsia="宋体" w:hAnsi="Tahoma" w:cs="Tahoma"/>
          <w:color w:val="666666"/>
          <w:kern w:val="0"/>
          <w:szCs w:val="21"/>
        </w:rPr>
        <w:t>第二十四条　公司、企业进行会计核算，除应当遵守本法第二章的规定外，还应当遵守本章规定。</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第二十五条　公司、企业必须根据实际发生的经济业务事项，按照国家统一的会计制度的规定确认、计量和记录资产、负债、所有者权益、收入、费用、成本和利润。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第二十六条　公司、企业进行会计核算不得有下列行为：</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（一）随意改变资产、负债、所有者权益的确认标准或者计量方法，虚列、多列、不列或者少列资产、负债、所有者权益；</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（二）虚列或者隐瞒收入，推迟或者提前确认收入；</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（三）随意改变费用、成本的确认标准或者计量方法，虚列、多列、不列或者少列费用、成本；</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（四）随意调整利润的计算、分配方法，编造虚假利润或者隐瞒利润；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（五）违反国家统一的会计制度规定的其他行为。</w:t>
      </w:r>
    </w:p>
    <w:p w:rsidR="00AE5E9E" w:rsidRPr="00AE5E9E" w:rsidRDefault="00AE5E9E" w:rsidP="00AE5E9E">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3" w:name="第四章_会计监督"/>
      <w:bookmarkEnd w:id="3"/>
      <w:r w:rsidRPr="00AE5E9E">
        <w:rPr>
          <w:rFonts w:ascii="微软雅黑" w:eastAsia="微软雅黑" w:hAnsi="微软雅黑" w:cs="Tahoma" w:hint="eastAsia"/>
          <w:b/>
          <w:bCs/>
          <w:color w:val="1C7BBF"/>
          <w:kern w:val="0"/>
          <w:sz w:val="24"/>
          <w:szCs w:val="24"/>
        </w:rPr>
        <w:t>第四章 会计监督</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hint="eastAsia"/>
          <w:color w:val="666666"/>
          <w:kern w:val="0"/>
          <w:szCs w:val="21"/>
        </w:rPr>
      </w:pPr>
      <w:r w:rsidRPr="00AE5E9E">
        <w:rPr>
          <w:rFonts w:ascii="Tahoma" w:eastAsia="宋体" w:hAnsi="Tahoma" w:cs="Tahoma"/>
          <w:color w:val="666666"/>
          <w:kern w:val="0"/>
          <w:szCs w:val="21"/>
        </w:rPr>
        <w:t>第二十七条　各单位应当建立、健全本单位内部会计监督制度。单位内部会计监督制度应当符合下列要求：</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lastRenderedPageBreak/>
        <w:t>（一）记帐人员与经济业务事项和会计事项的审批人员、经办人员、财物保管人员的职责权限应当明确，并相互分离、相互制约；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（二）重大对外投资、资产处置、资金调度和其他重要经济业务事项的决策和执行的相互监督、相互制约程序应当明确；</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（三）财产清查的范围、期限和组织程序应当明确；</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（四）对会计资料定期进行内部审计的办法和程序应当明确。</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第二十八条　单位负责人应当保证会计机构、会计人员依法履行职责，不得授意、指使、强令会计机构、会计人员违法办理会计事项。</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会计机构、会计人员对违反本法和国家统一的会计制度规定的会计事项，有权拒绝办理或者按照职权予以纠正。</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第二十九条　会计机构、会计人员发现会计帐簿记录与实物、款项及有关资料不相符的，按照国家统一的会计制度的规定有权自行处理的，应当及时处理；无权处理的，应当立即向单位负责人报告，请求查明原因，作出处理。</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第三十条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第三十一条　有关法律、行政法规规定，须经注册会计师进行审计的单位，应当向受委托的会计师事务所如实提供会计凭证、会计帐簿、财务会计报告和其他会计资料以及有关情况。</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任何单位或者个人不得以任何方式要求或者示意注册会计师及其所在的会计师事务所出具不实或者不当的审计报告。</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财政部门有权对会计师事务所出具审计报告的程序和内容进行监督。</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第三十二条　财政部门对各单位的下列情况实施监督：</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lastRenderedPageBreak/>
        <w:t>（一）是否依法设置会计帐簿；</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（二）会计凭证、会计帐簿、财务会计报告和其他会计资料是否真实、完整；</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（三）会计核算是否符合本法和国家统一的会计制度的规定；</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（四）从事会计工作的人员是否具备从业资格。</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在对前款第（二）项所列事项实施监督，发现重大违法嫌疑时，国务院财政部门及其派出机构可以向与被监督单位有经济业务往来的单位和被监督单位开立帐户的金融机构查询有关情况，有关单位和金融机构应当给予支持。</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第三十三条　财政、审计、税务、人民银行、证券监管、保险监管等部门应当依照有关法律、行政法规规定的职责，对有关单位的会计资料实施监督检查。</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帐。</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第三十四条　依法对有关单位的会计资料实施监督检查的部门及其工作人员对在监督检查中知悉的国家秘密和商业秘密负有保密义务。</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第三十五条　各单位必须依照有关法律、行政法规的规定，接受有关监督检查部门依法实施的监督检查，如实提供会计凭证、会计帐簿、财务会计报告和其他会计资料以及有关情况，不得拒绝、隐匿、谎报。</w:t>
      </w:r>
    </w:p>
    <w:p w:rsidR="00AE5E9E" w:rsidRPr="00AE5E9E" w:rsidRDefault="00AE5E9E" w:rsidP="00AE5E9E">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4" w:name="第五章_会计机构和会计人员"/>
      <w:bookmarkEnd w:id="4"/>
      <w:r w:rsidRPr="00AE5E9E">
        <w:rPr>
          <w:rFonts w:ascii="微软雅黑" w:eastAsia="微软雅黑" w:hAnsi="微软雅黑" w:cs="Tahoma" w:hint="eastAsia"/>
          <w:b/>
          <w:bCs/>
          <w:color w:val="1C7BBF"/>
          <w:kern w:val="0"/>
          <w:sz w:val="24"/>
          <w:szCs w:val="24"/>
        </w:rPr>
        <w:t>第五章 会计机构和会计人员</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hint="eastAsia"/>
          <w:color w:val="666666"/>
          <w:kern w:val="0"/>
          <w:szCs w:val="21"/>
        </w:rPr>
      </w:pPr>
      <w:r w:rsidRPr="00AE5E9E">
        <w:rPr>
          <w:rFonts w:ascii="Tahoma" w:eastAsia="宋体" w:hAnsi="Tahoma" w:cs="Tahoma"/>
          <w:color w:val="666666"/>
          <w:kern w:val="0"/>
          <w:szCs w:val="21"/>
        </w:rPr>
        <w:t>第三十六条　各单位应当根据会计业务的需要，设置会计机构，或者在有关机构中设置会计人员并指定会计主管人员；不具备设置条件的，应当委托经批准设立从事会计代理记帐业务的中介机构代理记帐。</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国有的和国有资产占控股地位或者主导地位的大、中型企业必须设置总会计师。总会计师的任职资格、任免程序、职责权限由国务院规定。</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lastRenderedPageBreak/>
        <w:t>第三十七条　会计机构内部应当建立稽核制度。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出纳人员不得兼任稽核、会计档案保管和收入、支出、费用、债权债务帐目的登记工作。</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第三十八条　从事会计工作的人员，必须取得会计从业资格证书。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担任单位会计机构负责人（会计主管人员）的，除取得会计从业资格证书外，还应当具备会计师以上专业技术职务资格或者从事会计工作三年以上经历。</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会计人员从业资格管理办法由国务院财政部门规定。</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第三十九条　会计人员应当遵守职业道德，提高业务素质。对会计人员的教育和培训工作应当加强。</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第四十条　因有提供虚假财务会计报告，做假帐，隐匿或者故意销毁会计凭证、会计帐簿、财务会计报告，贪污，挪用公款，职务侵占等与会计职务有关的违法行为被依法追究刑事责任的人员，不得取得或者重新取得会计从业资格证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除前款规定的人员外，因违法违纪行为被吊销会计从业资格证书的人员，自被吊销会计从业资格证书之日起五年内，不得重新取得会计从业资格证书。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第四十一条　会计人员调动工作或者离职，必须与接管人员办清交接手续。</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一般会计人员办理交接手续，由会计机构负责人（会计主管人员）监交；会计机构负责人（会计主管人员）办理交接手续，由单位负责人监交，必要时主管单位可以派人会同监交。</w:t>
      </w:r>
    </w:p>
    <w:p w:rsidR="00AE5E9E" w:rsidRPr="00AE5E9E" w:rsidRDefault="00AE5E9E" w:rsidP="00AE5E9E">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5" w:name="第六章_法律责任"/>
      <w:bookmarkEnd w:id="5"/>
      <w:r w:rsidRPr="00AE5E9E">
        <w:rPr>
          <w:rFonts w:ascii="微软雅黑" w:eastAsia="微软雅黑" w:hAnsi="微软雅黑" w:cs="Tahoma" w:hint="eastAsia"/>
          <w:b/>
          <w:bCs/>
          <w:color w:val="1C7BBF"/>
          <w:kern w:val="0"/>
          <w:sz w:val="24"/>
          <w:szCs w:val="24"/>
        </w:rPr>
        <w:t>第六章 法律责任</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hint="eastAsia"/>
          <w:color w:val="666666"/>
          <w:kern w:val="0"/>
          <w:szCs w:val="21"/>
        </w:rPr>
      </w:pPr>
      <w:r w:rsidRPr="00AE5E9E">
        <w:rPr>
          <w:rFonts w:ascii="Tahoma" w:eastAsia="宋体" w:hAnsi="Tahoma" w:cs="Tahoma"/>
          <w:color w:val="666666"/>
          <w:kern w:val="0"/>
          <w:szCs w:val="21"/>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lastRenderedPageBreak/>
        <w:t>（一）不依法设置会计帐簿的；</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（二）私设会计帐簿的；</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（三）未按照规定填制、取得原始凭证或者填制、取得的原始凭证不符合规定的；</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（四）以未经审核的会计凭证为依据登记会计帐簿或者登记会计帐簿不符合规定的；</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（五）随意变更会计处理方法的；</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（六）向不同的会计资料使用者提供的财务会计报告编制依据不一致的；</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（七）未按照规定使用会计记录文字或者记帐本位币的；</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（八）未按照规定保管会计资料，致使会计资料毁损、灭失的；</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（九）未按照规定建立并实施单位内部会计监督制度或者拒绝依法实施的监督或者不如实提供有关会计资料及有关情况的；</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（十）任用会计人员不符合本法规定的。</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有前款所列行为之一，构成犯罪的，依法追究刑事责任。</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会计人员有第一款所列行为之一，情节严重的，由县级以上人民政府财政部门吊销会计从业资格证书。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有关法律对第一款所列行为的处罚另有规定的，依照有关法律的规定办理。</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第四十三条　伪造、变造会计凭证、会计帐簿，编制虚假财务会计报告，构成犯罪的，依法追究刑事责任。</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lastRenderedPageBreak/>
        <w:t>第四十四条　隐匿或者故意销毁依法应当保存的会计凭证、会计帐簿、财务会计报告，构成犯罪的，依法追究刑事责任。</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第四十五条　授意、指使、强令会计机构、会计人员及其他人员伪造、变造会计凭证、会计帐簿，编制虚假财务会计报告或者隐匿、故意销毁依法应当保存的会计凭证、会计帐簿、财务会计报告，构成犯罪的，依法追究刑事责任；尚不构成犯罪的，可以处五千元以上五万元以下的罚款；属于国家工作人员的，还应当由其所在单位或者有关单位依法给予降级、撤职、开除的行政处分。</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第四十六条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第四十七条　财政部门及有关行政部门的工作人员在实施监督管理中滥用职权、玩忽职守、徇私舞弊或者泄露国家秘密、商业秘密，构成犯罪的，依法追究刑事责任；尚不构成犯罪的，依法给予行政处分。</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第四十八条　违反本法第三十条规定，将检举人姓名和检举材料转给被检举单位和被检举人个人的，由所在单位或者有关单位依法给予行政处分。</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第四十九条　违反本法规定，同时违反其他法律规定的，由有关部门在各自职权范围内依法进行处罚。</w:t>
      </w:r>
    </w:p>
    <w:p w:rsidR="00AE5E9E" w:rsidRPr="00AE5E9E" w:rsidRDefault="00AE5E9E" w:rsidP="00AE5E9E">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6" w:name="第七章_附则"/>
      <w:bookmarkEnd w:id="6"/>
      <w:r w:rsidRPr="00AE5E9E">
        <w:rPr>
          <w:rFonts w:ascii="微软雅黑" w:eastAsia="微软雅黑" w:hAnsi="微软雅黑" w:cs="Tahoma" w:hint="eastAsia"/>
          <w:b/>
          <w:bCs/>
          <w:color w:val="1C7BBF"/>
          <w:kern w:val="0"/>
          <w:sz w:val="24"/>
          <w:szCs w:val="24"/>
        </w:rPr>
        <w:t>第七章 附则</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hint="eastAsia"/>
          <w:color w:val="666666"/>
          <w:kern w:val="0"/>
          <w:szCs w:val="21"/>
        </w:rPr>
      </w:pPr>
      <w:r w:rsidRPr="00AE5E9E">
        <w:rPr>
          <w:rFonts w:ascii="Tahoma" w:eastAsia="宋体" w:hAnsi="Tahoma" w:cs="Tahoma"/>
          <w:color w:val="666666"/>
          <w:kern w:val="0"/>
          <w:szCs w:val="21"/>
        </w:rPr>
        <w:t>第五十条　本法下列用语的含义：</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lastRenderedPageBreak/>
        <w:t>单位负责人，是指单位法定代表人或者法律、行政法规规定代表单位行使职权的主要负责人。</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国家统一的会计制度，是指国务院财政部门根据本法制定的关于会计核算、会计监督、会计机构和会计人员以及会计工作管理的制度。</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第五十一条　个体工商户会计管理的具体办法，由国务院财政部门根据本法的原则另行规定。</w:t>
      </w:r>
    </w:p>
    <w:p w:rsidR="00AE5E9E" w:rsidRPr="00AE5E9E" w:rsidRDefault="00AE5E9E" w:rsidP="00AE5E9E">
      <w:pPr>
        <w:widowControl/>
        <w:shd w:val="clear" w:color="auto" w:fill="FFFFFF"/>
        <w:spacing w:before="300" w:line="420" w:lineRule="atLeast"/>
        <w:ind w:firstLine="480"/>
        <w:jc w:val="left"/>
        <w:rPr>
          <w:rFonts w:ascii="Tahoma" w:eastAsia="宋体" w:hAnsi="Tahoma" w:cs="Tahoma"/>
          <w:color w:val="666666"/>
          <w:kern w:val="0"/>
          <w:szCs w:val="21"/>
        </w:rPr>
      </w:pPr>
      <w:r w:rsidRPr="00AE5E9E">
        <w:rPr>
          <w:rFonts w:ascii="Tahoma" w:eastAsia="宋体" w:hAnsi="Tahoma" w:cs="Tahoma"/>
          <w:color w:val="666666"/>
          <w:kern w:val="0"/>
          <w:szCs w:val="21"/>
        </w:rPr>
        <w:t>第五十二条　本法自２０００年７月１日起施行。</w:t>
      </w:r>
    </w:p>
    <w:p w:rsidR="00F056F5" w:rsidRPr="00AE5E9E" w:rsidRDefault="00F056F5"/>
    <w:sectPr w:rsidR="00F056F5" w:rsidRPr="00AE5E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6F5" w:rsidRDefault="00F056F5" w:rsidP="00AE5E9E">
      <w:r>
        <w:separator/>
      </w:r>
    </w:p>
  </w:endnote>
  <w:endnote w:type="continuationSeparator" w:id="1">
    <w:p w:rsidR="00F056F5" w:rsidRDefault="00F056F5" w:rsidP="00AE5E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6F5" w:rsidRDefault="00F056F5" w:rsidP="00AE5E9E">
      <w:r>
        <w:separator/>
      </w:r>
    </w:p>
  </w:footnote>
  <w:footnote w:type="continuationSeparator" w:id="1">
    <w:p w:rsidR="00F056F5" w:rsidRDefault="00F056F5" w:rsidP="00AE5E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E0243"/>
    <w:multiLevelType w:val="multilevel"/>
    <w:tmpl w:val="5FE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5E9E"/>
    <w:rsid w:val="00AE5E9E"/>
    <w:rsid w:val="00F05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E5E9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E5E9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5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5E9E"/>
    <w:rPr>
      <w:sz w:val="18"/>
      <w:szCs w:val="18"/>
    </w:rPr>
  </w:style>
  <w:style w:type="paragraph" w:styleId="a4">
    <w:name w:val="footer"/>
    <w:basedOn w:val="a"/>
    <w:link w:val="Char0"/>
    <w:uiPriority w:val="99"/>
    <w:semiHidden/>
    <w:unhideWhenUsed/>
    <w:rsid w:val="00AE5E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5E9E"/>
    <w:rPr>
      <w:sz w:val="18"/>
      <w:szCs w:val="18"/>
    </w:rPr>
  </w:style>
  <w:style w:type="character" w:customStyle="1" w:styleId="1Char">
    <w:name w:val="标题 1 Char"/>
    <w:basedOn w:val="a0"/>
    <w:link w:val="1"/>
    <w:uiPriority w:val="9"/>
    <w:rsid w:val="00AE5E9E"/>
    <w:rPr>
      <w:rFonts w:ascii="宋体" w:eastAsia="宋体" w:hAnsi="宋体" w:cs="宋体"/>
      <w:b/>
      <w:bCs/>
      <w:kern w:val="36"/>
      <w:sz w:val="48"/>
      <w:szCs w:val="48"/>
    </w:rPr>
  </w:style>
  <w:style w:type="character" w:customStyle="1" w:styleId="3Char">
    <w:name w:val="标题 3 Char"/>
    <w:basedOn w:val="a0"/>
    <w:link w:val="3"/>
    <w:uiPriority w:val="9"/>
    <w:rsid w:val="00AE5E9E"/>
    <w:rPr>
      <w:rFonts w:ascii="宋体" w:eastAsia="宋体" w:hAnsi="宋体" w:cs="宋体"/>
      <w:b/>
      <w:bCs/>
      <w:kern w:val="0"/>
      <w:sz w:val="27"/>
      <w:szCs w:val="27"/>
    </w:rPr>
  </w:style>
  <w:style w:type="character" w:styleId="a5">
    <w:name w:val="Hyperlink"/>
    <w:basedOn w:val="a0"/>
    <w:uiPriority w:val="99"/>
    <w:semiHidden/>
    <w:unhideWhenUsed/>
    <w:rsid w:val="00AE5E9E"/>
    <w:rPr>
      <w:color w:val="0000FF"/>
      <w:u w:val="single"/>
    </w:rPr>
  </w:style>
  <w:style w:type="paragraph" w:styleId="a6">
    <w:name w:val="Normal (Web)"/>
    <w:basedOn w:val="a"/>
    <w:uiPriority w:val="99"/>
    <w:semiHidden/>
    <w:unhideWhenUsed/>
    <w:rsid w:val="00AE5E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66998319">
      <w:bodyDiv w:val="1"/>
      <w:marLeft w:val="0"/>
      <w:marRight w:val="0"/>
      <w:marTop w:val="0"/>
      <w:marBottom w:val="0"/>
      <w:divBdr>
        <w:top w:val="none" w:sz="0" w:space="0" w:color="auto"/>
        <w:left w:val="none" w:sz="0" w:space="0" w:color="auto"/>
        <w:bottom w:val="none" w:sz="0" w:space="0" w:color="auto"/>
        <w:right w:val="none" w:sz="0" w:space="0" w:color="auto"/>
      </w:divBdr>
      <w:divsChild>
        <w:div w:id="612132768">
          <w:marLeft w:val="0"/>
          <w:marRight w:val="0"/>
          <w:marTop w:val="0"/>
          <w:marBottom w:val="0"/>
          <w:divBdr>
            <w:top w:val="none" w:sz="0" w:space="0" w:color="auto"/>
            <w:left w:val="none" w:sz="0" w:space="0" w:color="auto"/>
            <w:bottom w:val="none" w:sz="0" w:space="0" w:color="auto"/>
            <w:right w:val="none" w:sz="0" w:space="0" w:color="auto"/>
          </w:divBdr>
          <w:divsChild>
            <w:div w:id="616759313">
              <w:marLeft w:val="0"/>
              <w:marRight w:val="3600"/>
              <w:marTop w:val="0"/>
              <w:marBottom w:val="0"/>
              <w:divBdr>
                <w:top w:val="none" w:sz="0" w:space="0" w:color="auto"/>
                <w:left w:val="none" w:sz="0" w:space="0" w:color="auto"/>
                <w:bottom w:val="none" w:sz="0" w:space="0" w:color="auto"/>
                <w:right w:val="none" w:sz="0" w:space="0" w:color="auto"/>
              </w:divBdr>
              <w:divsChild>
                <w:div w:id="869997230">
                  <w:marLeft w:val="0"/>
                  <w:marRight w:val="0"/>
                  <w:marTop w:val="0"/>
                  <w:marBottom w:val="0"/>
                  <w:divBdr>
                    <w:top w:val="none" w:sz="0" w:space="0" w:color="auto"/>
                    <w:left w:val="none" w:sz="0" w:space="0" w:color="auto"/>
                    <w:bottom w:val="none" w:sz="0" w:space="0" w:color="auto"/>
                    <w:right w:val="none" w:sz="0" w:space="0" w:color="auto"/>
                  </w:divBdr>
                  <w:divsChild>
                    <w:div w:id="8508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2629">
          <w:marLeft w:val="0"/>
          <w:marRight w:val="0"/>
          <w:marTop w:val="0"/>
          <w:marBottom w:val="0"/>
          <w:divBdr>
            <w:top w:val="none" w:sz="0" w:space="0" w:color="auto"/>
            <w:left w:val="none" w:sz="0" w:space="0" w:color="auto"/>
            <w:bottom w:val="none" w:sz="0" w:space="0" w:color="auto"/>
            <w:right w:val="none" w:sz="0" w:space="0" w:color="auto"/>
          </w:divBdr>
          <w:divsChild>
            <w:div w:id="873814623">
              <w:marLeft w:val="0"/>
              <w:marRight w:val="3600"/>
              <w:marTop w:val="0"/>
              <w:marBottom w:val="0"/>
              <w:divBdr>
                <w:top w:val="none" w:sz="0" w:space="0" w:color="auto"/>
                <w:left w:val="none" w:sz="0" w:space="0" w:color="auto"/>
                <w:bottom w:val="none" w:sz="0" w:space="0" w:color="auto"/>
                <w:right w:val="none" w:sz="0" w:space="0" w:color="auto"/>
              </w:divBdr>
              <w:divsChild>
                <w:div w:id="1808626053">
                  <w:marLeft w:val="0"/>
                  <w:marRight w:val="0"/>
                  <w:marTop w:val="0"/>
                  <w:marBottom w:val="150"/>
                  <w:divBdr>
                    <w:top w:val="single" w:sz="6" w:space="31" w:color="DDDDDD"/>
                    <w:left w:val="single" w:sz="6" w:space="0" w:color="DDDDDD"/>
                    <w:bottom w:val="single" w:sz="6" w:space="0" w:color="DDDDDD"/>
                    <w:right w:val="single" w:sz="6" w:space="0" w:color="DDDDDD"/>
                  </w:divBdr>
                  <w:divsChild>
                    <w:div w:id="107938230">
                      <w:marLeft w:val="0"/>
                      <w:marRight w:val="0"/>
                      <w:marTop w:val="0"/>
                      <w:marBottom w:val="0"/>
                      <w:divBdr>
                        <w:top w:val="none" w:sz="0" w:space="0" w:color="auto"/>
                        <w:left w:val="none" w:sz="0" w:space="0" w:color="auto"/>
                        <w:bottom w:val="none" w:sz="0" w:space="0" w:color="auto"/>
                        <w:right w:val="none" w:sz="0" w:space="0" w:color="auto"/>
                      </w:divBdr>
                    </w:div>
                    <w:div w:id="2072149917">
                      <w:marLeft w:val="0"/>
                      <w:marRight w:val="0"/>
                      <w:marTop w:val="0"/>
                      <w:marBottom w:val="0"/>
                      <w:divBdr>
                        <w:top w:val="none" w:sz="0" w:space="0" w:color="auto"/>
                        <w:left w:val="none" w:sz="0" w:space="0" w:color="auto"/>
                        <w:bottom w:val="none" w:sz="0" w:space="0" w:color="auto"/>
                        <w:right w:val="none" w:sz="0" w:space="0" w:color="auto"/>
                      </w:divBdr>
                      <w:divsChild>
                        <w:div w:id="1288194980">
                          <w:marLeft w:val="0"/>
                          <w:marRight w:val="0"/>
                          <w:marTop w:val="0"/>
                          <w:marBottom w:val="0"/>
                          <w:divBdr>
                            <w:top w:val="none" w:sz="0" w:space="0" w:color="auto"/>
                            <w:left w:val="none" w:sz="0" w:space="0" w:color="auto"/>
                            <w:bottom w:val="none" w:sz="0" w:space="0" w:color="auto"/>
                            <w:right w:val="none" w:sz="0" w:space="0" w:color="auto"/>
                          </w:divBdr>
                        </w:div>
                      </w:divsChild>
                    </w:div>
                    <w:div w:id="16589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6law.cn/tiaoli/200.aspx" TargetMode="External"/><Relationship Id="rId13" Type="http://schemas.openxmlformats.org/officeDocument/2006/relationships/hyperlink" Target="http://www.66law.cn/tiaoli/200.aspx" TargetMode="External"/><Relationship Id="rId3" Type="http://schemas.openxmlformats.org/officeDocument/2006/relationships/settings" Target="settings.xml"/><Relationship Id="rId7" Type="http://schemas.openxmlformats.org/officeDocument/2006/relationships/hyperlink" Target="http://www.66law.cn/tiaoli/200.aspx" TargetMode="External"/><Relationship Id="rId12" Type="http://schemas.openxmlformats.org/officeDocument/2006/relationships/hyperlink" Target="http://www.66law.cn/tiaoli/20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6law.cn/tiaoli/200.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66law.cn/tiaoli/200.aspx" TargetMode="External"/><Relationship Id="rId4" Type="http://schemas.openxmlformats.org/officeDocument/2006/relationships/webSettings" Target="webSettings.xml"/><Relationship Id="rId9" Type="http://schemas.openxmlformats.org/officeDocument/2006/relationships/hyperlink" Target="http://www.66law.cn/tiaoli/200.asp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2017-06-20T00:22:00Z</dcterms:created>
  <dcterms:modified xsi:type="dcterms:W3CDTF">2017-06-20T00:22:00Z</dcterms:modified>
</cp:coreProperties>
</file>